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hint="eastAsia" w:ascii="Times New Roman" w:hAnsi="Times New Roman"/>
          <w:b/>
          <w:sz w:val="30"/>
          <w:szCs w:val="30"/>
        </w:rPr>
        <w:t>Additional file 1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 xml:space="preserve">: </w:t>
      </w:r>
      <w:r>
        <w:rPr>
          <w:rFonts w:hint="eastAsia" w:ascii="Times New Roman" w:hAnsi="Times New Roman"/>
          <w:b/>
          <w:sz w:val="30"/>
          <w:szCs w:val="30"/>
        </w:rPr>
        <w:t>Drug-target interaction</w:t>
      </w:r>
      <w:r>
        <w:rPr>
          <w:rFonts w:ascii="Times New Roman" w:hAnsi="Times New Roman"/>
          <w:b/>
          <w:sz w:val="30"/>
          <w:szCs w:val="30"/>
        </w:rPr>
        <w:t xml:space="preserve"> pairs</w:t>
      </w:r>
      <w:r>
        <w:rPr>
          <w:rFonts w:hint="eastAsia" w:ascii="Times New Roman" w:hAnsi="Times New Roman"/>
          <w:b/>
          <w:sz w:val="30"/>
          <w:szCs w:val="30"/>
        </w:rPr>
        <w:t xml:space="preserve"> on </w:t>
      </w:r>
      <w:r>
        <w:rPr>
          <w:rFonts w:hint="eastAsia" w:ascii="Times New Roman" w:hAnsi="Times New Roman"/>
          <w:b/>
          <w:i/>
          <w:sz w:val="30"/>
          <w:szCs w:val="30"/>
        </w:rPr>
        <w:t>Dataset2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hint="eastAsia" w:ascii="Times New Roman" w:hAnsi="Times New Roman"/>
          <w:sz w:val="24"/>
          <w:szCs w:val="24"/>
        </w:rPr>
        <w:t xml:space="preserve">detailed drug-target interaction system for enzymes, ion channels, GPCRs and nuclear receptors on </w:t>
      </w:r>
      <w:r>
        <w:rPr>
          <w:rFonts w:ascii="Times New Roman" w:hAnsi="Times New Roman"/>
          <w:sz w:val="24"/>
          <w:szCs w:val="24"/>
        </w:rPr>
        <w:t xml:space="preserve">benchmark </w:t>
      </w:r>
      <w:r>
        <w:rPr>
          <w:rFonts w:hint="eastAsia"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i/>
          <w:sz w:val="24"/>
          <w:szCs w:val="24"/>
        </w:rPr>
        <w:t>ataset</w:t>
      </w:r>
      <w:r>
        <w:rPr>
          <w:rFonts w:hint="eastAsia" w:ascii="Times New Roman" w:hAnsi="Times New Roman"/>
          <w:i/>
          <w:sz w:val="24"/>
          <w:szCs w:val="24"/>
        </w:rPr>
        <w:t xml:space="preserve">2 </w:t>
      </w:r>
      <w:r>
        <w:rPr>
          <w:rFonts w:hint="eastAsia" w:ascii="Times New Roman" w:hAnsi="Times New Roman"/>
          <w:sz w:val="24"/>
          <w:szCs w:val="24"/>
        </w:rPr>
        <w:t>were shown in Table I, II, III and IV, respectively</w:t>
      </w:r>
      <w:r>
        <w:rPr>
          <w:rFonts w:ascii="Times New Roman" w:hAnsi="Times New Roman"/>
          <w:sz w:val="24"/>
          <w:szCs w:val="24"/>
        </w:rPr>
        <w:t xml:space="preserve">. It contains </w:t>
      </w:r>
      <w:r>
        <w:rPr>
          <w:rFonts w:hint="eastAsia" w:ascii="Times New Roman" w:hAnsi="Times New Roman"/>
          <w:sz w:val="24"/>
          <w:szCs w:val="24"/>
        </w:rPr>
        <w:t>16140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drug-tar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hint="eastAsia"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 pair</w:t>
      </w:r>
      <w:r>
        <w:rPr>
          <w:rFonts w:hint="eastAsia" w:ascii="Times New Roman" w:hAnsi="Times New Roman"/>
          <w:sz w:val="24"/>
          <w:szCs w:val="24"/>
        </w:rPr>
        <w:t>s in total</w:t>
      </w:r>
      <w:r>
        <w:rPr>
          <w:rFonts w:ascii="Times New Roman" w:hAnsi="Times New Roman"/>
          <w:sz w:val="24"/>
          <w:szCs w:val="24"/>
        </w:rPr>
        <w:t xml:space="preserve">, of which 3627 for enzymes, 5511 for ion channels, 5955 for GPCRs, and 1047 for nuclear receptors. </w:t>
      </w:r>
      <w:r>
        <w:rPr>
          <w:rFonts w:hint="eastAsia" w:ascii="Times New Roman" w:hAnsi="Times New Roman"/>
          <w:sz w:val="24"/>
          <w:szCs w:val="24"/>
        </w:rPr>
        <w:t>In each table, t</w:t>
      </w:r>
      <w:r>
        <w:rPr>
          <w:rFonts w:ascii="Times New Roman" w:hAnsi="Times New Roman"/>
          <w:sz w:val="24"/>
          <w:szCs w:val="24"/>
        </w:rPr>
        <w:t>he column</w:t>
      </w:r>
      <w:r>
        <w:rPr>
          <w:rFonts w:hint="eastAsia" w:ascii="Times New Roman" w:hAnsi="Times New Roman"/>
          <w:sz w:val="24"/>
          <w:szCs w:val="24"/>
        </w:rPr>
        <w:t xml:space="preserve"> named class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is the label indicates the pair with 1 for positive samples and 0 for negative samples. All detailed information about these interactions can be found in KEGG BRITE database. In addition, our data is an independent dataset which not contain redundant </w:t>
      </w:r>
      <w:r>
        <w:rPr>
          <w:rFonts w:ascii="Times New Roman" w:hAnsi="Times New Roman"/>
          <w:sz w:val="24"/>
          <w:szCs w:val="24"/>
        </w:rPr>
        <w:t>information</w:t>
      </w:r>
      <w:r>
        <w:rPr>
          <w:rFonts w:hint="eastAsia" w:ascii="Times New Roman" w:hAnsi="Times New Roman"/>
          <w:sz w:val="24"/>
          <w:szCs w:val="24"/>
        </w:rPr>
        <w:t xml:space="preserve"> from reference </w:t>
      </w:r>
      <w:r>
        <w:rPr>
          <w:rFonts w:ascii="Times New Roman" w:hAnsi="Times New Roman"/>
          <w:szCs w:val="21"/>
        </w:rPr>
        <w:t xml:space="preserve">(He, Zhisong, et al. "Predicting Drug-Target Interaction Networks Based on Functional Groups and Biological Features." </w:t>
      </w:r>
      <w:r>
        <w:rPr>
          <w:rFonts w:ascii="Times New Roman" w:hAnsi="Times New Roman"/>
          <w:i/>
          <w:szCs w:val="21"/>
        </w:rPr>
        <w:t xml:space="preserve">Plos One </w:t>
      </w:r>
      <w:r>
        <w:rPr>
          <w:rFonts w:ascii="Times New Roman" w:hAnsi="Times New Roman"/>
          <w:szCs w:val="21"/>
        </w:rPr>
        <w:t>5.3 (2010): e9603.)</w:t>
      </w:r>
      <w:r>
        <w:rPr>
          <w:rFonts w:hint="eastAsia" w:ascii="Times New Roman" w:hAnsi="Times New Roman"/>
          <w:sz w:val="24"/>
          <w:szCs w:val="24"/>
        </w:rPr>
        <w:t xml:space="preserve"> (in our study called </w:t>
      </w:r>
      <w:r>
        <w:rPr>
          <w:rFonts w:hint="eastAsia" w:ascii="Times New Roman" w:hAnsi="Times New Roman"/>
          <w:i/>
          <w:sz w:val="24"/>
          <w:szCs w:val="24"/>
        </w:rPr>
        <w:t>Dataset1</w:t>
      </w:r>
      <w:r>
        <w:rPr>
          <w:rFonts w:hint="eastAsia" w:ascii="Times New Roman" w:hAnsi="Times New Roman"/>
          <w:sz w:val="24"/>
          <w:szCs w:val="24"/>
        </w:rPr>
        <w:t xml:space="preserve">). 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Table I  The overall of drug-target interactions for enzymes class on </w:t>
      </w:r>
      <w:r>
        <w:rPr>
          <w:rFonts w:hint="eastAsia" w:ascii="Times New Roman" w:hAnsi="Times New Roman"/>
          <w:i/>
          <w:sz w:val="24"/>
          <w:szCs w:val="24"/>
        </w:rPr>
        <w:t>Dataset2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252"/>
        <w:gridCol w:w="893"/>
        <w:gridCol w:w="731"/>
        <w:gridCol w:w="1147"/>
        <w:gridCol w:w="893"/>
        <w:gridCol w:w="731"/>
        <w:gridCol w:w="1253"/>
        <w:gridCol w:w="89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12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Target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Drug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11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Target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Drug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125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Target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Drug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hsa_983</w:t>
            </w:r>
          </w:p>
        </w:tc>
        <w:tc>
          <w:tcPr>
            <w:tcW w:w="89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hsa_983</w:t>
            </w:r>
          </w:p>
        </w:tc>
        <w:tc>
          <w:tcPr>
            <w:tcW w:w="89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</w:t>
            </w:r>
          </w:p>
        </w:tc>
        <w:tc>
          <w:tcPr>
            <w:tcW w:w="89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hsa_4322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hsa_4322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hsa_4322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hsa_4322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hsa_4322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hsa_4322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hsa_4322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hsa_4322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hsa_4322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D10405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D10076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D05400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hsa_4233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hsa_4233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hsa_4233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hsa_4233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hsa_4233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hsa_4233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hsa_4233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hsa_4233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hsa_81579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hsa_81579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hsa_81579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hsa_79644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hsa_79644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hsa_79644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D05511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D09198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hsa_391013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hsa_391013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hsa_391013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hsa_391013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hsa_391013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hsa_391013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hsa_391013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hsa_391013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hsa_391013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hsa_391013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hsa_391013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D09635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hsa_83933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D09894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hsa_81579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hsa_81579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hsa_81579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hsa_81579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hsa_81579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hsa_377677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hsa_81579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hsa_377677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hsa_81579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hsa_377677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hsa_81579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hsa_377677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hsa_79644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hsa_377677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hsa_79644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D07100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hsa_377677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hsa_79644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hsa_377677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D07100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hsa_79644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hsa_377677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D07776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hsa_79644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hsa_377677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hsa_79644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hsa_377677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hsa_79644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hsa_377677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hsa_79644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D10091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D07100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D07776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D10091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D09198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D09327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hsa_7010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hsa_7010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D04276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hsa_3620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hsa_3620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hsa_3620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hsa_3620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hsa_3620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hsa_3620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D02587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hsa_3480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hsa_3480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hsa_3480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hsa_3480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hsa_3480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hsa_3480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hsa_63928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hsa_3480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hsa_63928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hsa_3480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hsa_63928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hsa_3480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hsa_63928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hsa_3480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hsa_63928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D00087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D06609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D01410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D05511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D05513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D09635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D06606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hsa_29947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hsa_29947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hsa_29947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hsa_29947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D06609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hsa_29947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D09635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D10426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D10426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hsa_7010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hsa_283208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hsa_7010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hsa_283208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hsa_7010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hsa_283208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D10405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hsa_7010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hsa_283208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hsa_7010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hsa_283208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D10405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hsa_7010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hsa_283208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hsa_7010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hsa_283208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hsa_7010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hsa_283208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hsa_7010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hsa_283208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hsa_7010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hsa_283208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hsa_283208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D06606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D00595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D04966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D03010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D00595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D04966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hsa_26279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hsa_26279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hsa_26279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hsa_26279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hsa_26279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hsa_26279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D06413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hsa_26279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D06600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D07577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D09326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D10609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D09327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hsa_63928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D10091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hsa_63928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hsa_63928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hsa_63928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D09546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hsa_63928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hsa_63928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D04936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D04936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D05511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D09198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D10426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hsa_6051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D09198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D03942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D07776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D00087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hsa_200895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hsa_200895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D03010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hsa_200895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hsa_200895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D05511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hsa_200895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hsa_200895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hsa_200895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hsa_200895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hsa_200895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hsa_196883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D06413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hsa_196883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hsa_196883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hsa_196883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D06005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D03942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D10405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D05177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D02587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D02587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D02587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D02587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D02587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D04936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hsa_169355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hsa_169355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D02587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hsa_169355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hsa_169355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hsa_169355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hsa_169355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hsa_169355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hsa_169355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hsa_169355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hsa_169355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hsa_169355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hsa_169355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D02587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hsa_4311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D06606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hsa_5530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hsa_4233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hsa_4233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hsa_4233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hsa_4233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hsa_54583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D05511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D05511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D03248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D10076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D03248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D06609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hsa_4023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hsa_391013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hsa_391013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hsa_391013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hsa_3791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hsa_3791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hsa_3791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hsa_377677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hsa_377677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hsa_377677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hsa_377677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D10405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hsa_5320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D04966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hsa_3620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hsa_5319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D04936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D04936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D05177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hsa_29947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hsa_29947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D07577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D07577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D07577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hsa_283208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hsa_27115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hsa_26279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hsa_26279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hsa_26279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hsa_2618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hsa_2618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D05400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D10609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hsa_2618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hsa_2618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hsa_2618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D06413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D10076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D03010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hsa_23621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D02587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D06005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D06606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D06600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D09635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D03248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D05511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hsa_124975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hsa_124975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hsa_124975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hsa_124975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hsa_124975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hsa_124975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hsa_124975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D10076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D09635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D09198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hsa_2224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D00595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D09327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D09546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D03942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hsa_200895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D00142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hsa_200895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hsa_200895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D03942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hsa_200895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hsa_200895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hsa_200895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hsa_50940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hsa_196883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D06005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hsa_50484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D09326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D10262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D07698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D02587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D03665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hsa_1723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hsa_1723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hsa_1723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D03942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hsa_169355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D06076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hsa_1636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hsa_1584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hsa_1445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hsa_1445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D05177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D10405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D05353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hsa_124975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D00107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D00112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D03845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D07135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D03115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D07425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D07086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D03021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D04964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D10688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D03099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D10079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D00749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hsa_10038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D07516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D03602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D08870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D09920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D00939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D10060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D09347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D10084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D00944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D10319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D09718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D10585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D10382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D08689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D10641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D05033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9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hsa_10000</w:t>
            </w:r>
          </w:p>
        </w:tc>
        <w:tc>
          <w:tcPr>
            <w:tcW w:w="89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D10674</w:t>
            </w:r>
          </w:p>
        </w:tc>
        <w:tc>
          <w:tcPr>
            <w:tcW w:w="731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4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hsa_47</w:t>
            </w:r>
          </w:p>
        </w:tc>
        <w:tc>
          <w:tcPr>
            <w:tcW w:w="89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D10640</w:t>
            </w:r>
          </w:p>
        </w:tc>
        <w:tc>
          <w:tcPr>
            <w:tcW w:w="731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hsa_10000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D05096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Table II</w:t>
      </w:r>
      <w:r>
        <w:rPr>
          <w:rFonts w:hint="eastAsia" w:ascii="Times New Roman" w:hAnsi="Times New Roman"/>
          <w:sz w:val="24"/>
          <w:szCs w:val="24"/>
        </w:rPr>
        <w:t xml:space="preserve">  The overall of drug-target interactions for ion channels class on </w:t>
      </w:r>
      <w:r>
        <w:rPr>
          <w:rFonts w:hint="eastAsia" w:ascii="Times New Roman" w:hAnsi="Times New Roman"/>
          <w:i/>
          <w:sz w:val="24"/>
          <w:szCs w:val="24"/>
        </w:rPr>
        <w:t>Dataset2</w:t>
      </w:r>
    </w:p>
    <w:p>
      <w:pPr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98"/>
        <w:gridCol w:w="893"/>
        <w:gridCol w:w="772"/>
        <w:gridCol w:w="1087"/>
        <w:gridCol w:w="893"/>
        <w:gridCol w:w="775"/>
        <w:gridCol w:w="1198"/>
        <w:gridCol w:w="89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11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Targets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drugs</w:t>
            </w:r>
          </w:p>
        </w:tc>
        <w:tc>
          <w:tcPr>
            <w:tcW w:w="77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1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Targets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drugs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11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Targets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drugs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D00808</w:t>
            </w:r>
          </w:p>
        </w:tc>
        <w:tc>
          <w:tcPr>
            <w:tcW w:w="772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D04657</w:t>
            </w:r>
          </w:p>
        </w:tc>
        <w:tc>
          <w:tcPr>
            <w:tcW w:w="77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D05703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D05703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D05703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D05703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D05703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D00098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D00098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D00098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D00098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D00225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D00225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D00225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D06172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D06172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D00225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D00225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D00098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hsa_55584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hsa_57053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D07272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D05077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D06172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D09215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hsa_6323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D07678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hsa_6338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D06388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D04131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D01969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D03830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D04741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D01785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D01969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D06172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D05482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D06172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D05077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D04657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D07845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D07678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D08009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hsa_781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D02910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D04849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hsa_79054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D04918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D00011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hsa_8645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D02780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D03037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D01564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D00098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hsa_8973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D00098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D08101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hsa_8989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D04955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hsa_9254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D05442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hsa_3736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hsa_93589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D00695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Table III  The overall of drug-target interactions for GPCRs class on </w:t>
      </w:r>
      <w:r>
        <w:rPr>
          <w:rFonts w:hint="eastAsia" w:ascii="Times New Roman" w:hAnsi="Times New Roman"/>
          <w:i/>
          <w:sz w:val="24"/>
          <w:szCs w:val="24"/>
        </w:rPr>
        <w:t>Dataset2</w:t>
      </w:r>
    </w:p>
    <w:tbl>
      <w:tblPr>
        <w:tblStyle w:val="4"/>
        <w:tblW w:w="828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31"/>
        <w:gridCol w:w="893"/>
        <w:gridCol w:w="636"/>
        <w:gridCol w:w="1231"/>
        <w:gridCol w:w="893"/>
        <w:gridCol w:w="636"/>
        <w:gridCol w:w="1231"/>
        <w:gridCol w:w="89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Targets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Drugs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Targets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Drugs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123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Targets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Drugs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D00025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D01336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D09402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D09400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D09400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D08768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D08768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D09400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D08768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D09400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D09400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D08768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D03216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D08768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D04361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D09205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D08157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D09400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hsa_64805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hsa_4543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D00089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D05902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hsa_2149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hsa_1268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D07905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hsa_56413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D04683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D06140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D02417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D07398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hsa_10800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D04694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D05312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D05575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hsa_2798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hsa_80834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D09949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hsa_1901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hsa_200909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hsa_55879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hsa_170572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D09400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hsa_4889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D02613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hsa_5021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D10338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hsa_9177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D02069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hsa_4157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D10478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hsa_285242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D00842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D02381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D08184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hsa_2693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hsa_6870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hsa_3062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D01188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D04765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hsa_10203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hsa_3274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hsa_5729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hsa_2862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hsa_6344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hsa_846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hsa_7201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hsa_3757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hsa_1813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hsa_6532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hsa_147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D01835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hsa_6608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hsa_5734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hsa_6754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hsa_11255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hsa_59340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hsa_2563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D02035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D04502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hsa_1394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hsa_3351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hsa_6869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hsa_5142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D10326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D05476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hsa_3362</w:t>
            </w:r>
          </w:p>
        </w:tc>
        <w:tc>
          <w:tcPr>
            <w:tcW w:w="89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D10747</w:t>
            </w:r>
          </w:p>
        </w:tc>
        <w:tc>
          <w:tcPr>
            <w:tcW w:w="63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hsa_2556</w:t>
            </w:r>
          </w:p>
        </w:tc>
        <w:tc>
          <w:tcPr>
            <w:tcW w:w="89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hsa_4987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D01205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Table IV  The overall of drug-target interactions for nuclear receptors class on </w:t>
      </w:r>
      <w:r>
        <w:rPr>
          <w:rFonts w:hint="eastAsia" w:ascii="Times New Roman" w:hAnsi="Times New Roman"/>
          <w:i/>
          <w:sz w:val="24"/>
          <w:szCs w:val="24"/>
        </w:rPr>
        <w:t>Dataset2</w:t>
      </w:r>
    </w:p>
    <w:tbl>
      <w:tblPr>
        <w:tblStyle w:val="4"/>
        <w:tblW w:w="7650" w:type="dxa"/>
        <w:tblInd w:w="9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021"/>
        <w:gridCol w:w="893"/>
        <w:gridCol w:w="636"/>
        <w:gridCol w:w="1021"/>
        <w:gridCol w:w="893"/>
        <w:gridCol w:w="636"/>
        <w:gridCol w:w="1021"/>
        <w:gridCol w:w="89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102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Targets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Drugs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102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Targets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Drugs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class</w:t>
            </w:r>
          </w:p>
        </w:tc>
        <w:tc>
          <w:tcPr>
            <w:tcW w:w="102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Targets</w:t>
            </w:r>
          </w:p>
        </w:tc>
        <w:tc>
          <w:tcPr>
            <w:tcW w:w="8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Drugs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D00129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D00129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D00185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D00292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D00395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D00407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D00490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D00575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D00689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D00751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D01357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D06086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D00986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D01098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D06543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D06876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D01159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D02032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D01299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D01375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D01442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D01476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D04316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D01580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D04496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D04672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D04885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D04947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D05091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D01662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D05192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D05209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D05640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D05679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D05739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D05837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D06087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D01764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D06171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D06245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D06315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D06551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D06673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D06876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D07096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D01886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D07187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D07203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D01948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D07223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D07230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D07434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D07495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D01989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D07578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D02156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D07670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D02174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D07724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D02289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D07799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D02592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D07802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D02758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D07827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D07919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D02815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D07939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D02996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D03062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D07980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D03144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D07981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D03145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D08053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D03325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D08147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D03363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D03493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D08197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D08227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D08251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D08285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D03594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D08301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D03595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D08378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D08409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D03699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D08429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D08431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D03799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D08477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D08491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D03813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D08559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D08574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D08620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D09687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D08660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D08845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D08868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D08890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D08910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D03941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D09899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D08949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D08958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D04041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D09350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D09360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D04061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D04063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D09381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D09567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D04064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D09579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D09687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D09796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D09899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D04065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D10016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hsa_5241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D10528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D10136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hsa_2100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D10198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D10218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D04104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hsa_367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D10221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D10528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hsa_5914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hsa_7068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D10565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D04162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D10606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hsa_2099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hsa_2908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D10617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hsa_5915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hsa_4306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D10633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hsa_9971</w:t>
            </w:r>
          </w:p>
        </w:tc>
        <w:tc>
          <w:tcPr>
            <w:tcW w:w="893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D04208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hsa_6257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21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hsa_5465</w:t>
            </w:r>
          </w:p>
        </w:tc>
        <w:tc>
          <w:tcPr>
            <w:tcW w:w="89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D10711</w:t>
            </w:r>
          </w:p>
        </w:tc>
        <w:tc>
          <w:tcPr>
            <w:tcW w:w="63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hsa_5467</w:t>
            </w:r>
          </w:p>
        </w:tc>
        <w:tc>
          <w:tcPr>
            <w:tcW w:w="89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D04214</w:t>
            </w:r>
          </w:p>
        </w:tc>
        <w:tc>
          <w:tcPr>
            <w:tcW w:w="636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hsa_7421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D10711</w:t>
            </w:r>
          </w:p>
        </w:tc>
      </w:tr>
    </w:tbl>
    <w:p>
      <w:pPr>
        <w:rPr>
          <w:color w:val="FF0000"/>
        </w:rPr>
      </w:pPr>
    </w:p>
    <w:p>
      <w:pPr>
        <w:rPr>
          <w:color w:val="FF0000"/>
        </w:rPr>
      </w:pPr>
    </w:p>
    <w:p>
      <w:pPr>
        <w:ind w:left="720" w:hanging="720"/>
        <w:rPr>
          <w:sz w:val="2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1&lt;/Suspended&gt;&lt;/ENInstantFormat&gt;"/>
  </w:docVars>
  <w:rsids>
    <w:rsidRoot w:val="003132B5"/>
    <w:rsid w:val="00046151"/>
    <w:rsid w:val="003132B5"/>
    <w:rsid w:val="00761925"/>
    <w:rsid w:val="0098367F"/>
    <w:rsid w:val="009D1004"/>
    <w:rsid w:val="00A65123"/>
    <w:rsid w:val="00C2116A"/>
    <w:rsid w:val="00D14261"/>
    <w:rsid w:val="00DD16C0"/>
    <w:rsid w:val="00E706F1"/>
    <w:rsid w:val="00F03390"/>
    <w:rsid w:val="3B5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124</Pages>
  <Words>44249</Words>
  <Characters>252221</Characters>
  <Lines>2101</Lines>
  <Paragraphs>591</Paragraphs>
  <TotalTime>10</TotalTime>
  <ScaleCrop>false</ScaleCrop>
  <LinksUpToDate>false</LinksUpToDate>
  <CharactersWithSpaces>295879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2017-07-31T07:19:00Z</dcterms:created>
  <dc:creator>Shanshan Hu</dc:creator>
  <cp:lastModifiedBy>无语的猎狐</cp:lastModifiedBy>
  <dcterms:modified xsi:type="dcterms:W3CDTF">2019-11-07T08:21:03Z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